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DB1AC4" w:rsidRPr="00DB1AC4">
        <w:trPr>
          <w:tblCellSpacing w:w="0" w:type="dxa"/>
          <w:jc w:val="center"/>
        </w:trPr>
        <w:tc>
          <w:tcPr>
            <w:tcW w:w="0" w:type="auto"/>
            <w:vAlign w:val="center"/>
            <w:hideMark/>
          </w:tcPr>
          <w:tbl>
            <w:tblPr>
              <w:tblW w:w="7500" w:type="dxa"/>
              <w:tblCellMar>
                <w:top w:w="75" w:type="dxa"/>
                <w:left w:w="75" w:type="dxa"/>
                <w:bottom w:w="75" w:type="dxa"/>
                <w:right w:w="75" w:type="dxa"/>
              </w:tblCellMar>
              <w:tblLook w:val="04A0"/>
            </w:tblPr>
            <w:tblGrid>
              <w:gridCol w:w="2970"/>
              <w:gridCol w:w="4860"/>
            </w:tblGrid>
            <w:tr w:rsidR="00DB1AC4" w:rsidRPr="00DB1AC4">
              <w:trPr>
                <w:trHeight w:val="1845"/>
              </w:trPr>
              <w:tc>
                <w:tcPr>
                  <w:tcW w:w="2790" w:type="dxa"/>
                  <w:tcBorders>
                    <w:top w:val="nil"/>
                    <w:left w:val="nil"/>
                    <w:bottom w:val="nil"/>
                    <w:right w:val="nil"/>
                  </w:tcBorders>
                  <w:vAlign w:val="center"/>
                  <w:hideMark/>
                </w:tcPr>
                <w:p w:rsidR="00DB1AC4" w:rsidRPr="00DB1AC4" w:rsidRDefault="00DB1AC4" w:rsidP="00DB1AC4">
                  <w:pPr>
                    <w:widowControl/>
                    <w:spacing w:line="195" w:lineRule="atLeast"/>
                    <w:jc w:val="left"/>
                    <w:rPr>
                      <w:rFonts w:ascii="Arial" w:eastAsia="宋体" w:hAnsi="Arial" w:cs="Arial"/>
                      <w:color w:val="000000"/>
                      <w:kern w:val="0"/>
                      <w:sz w:val="17"/>
                      <w:szCs w:val="17"/>
                    </w:rPr>
                  </w:pPr>
                  <w:r>
                    <w:rPr>
                      <w:rFonts w:ascii="Arial" w:eastAsia="宋体" w:hAnsi="Arial" w:cs="Arial"/>
                      <w:noProof/>
                      <w:color w:val="000000"/>
                      <w:kern w:val="0"/>
                      <w:sz w:val="17"/>
                      <w:szCs w:val="17"/>
                    </w:rPr>
                    <w:drawing>
                      <wp:inline distT="0" distB="0" distL="0" distR="0">
                        <wp:extent cx="1771650" cy="1171575"/>
                        <wp:effectExtent l="19050" t="0" r="0" b="0"/>
                        <wp:docPr id="1" name="图片 1" descr="http://www.apo.lyondellbasell.com/static/wma/JPG/1/4/1/2/8/INT_AIRBA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o.lyondellbasell.com/static/wma/JPG/1/4/1/2/8/INT_AIRBAGS.JPG"/>
                                <pic:cNvPicPr>
                                  <a:picLocks noChangeAspect="1" noChangeArrowheads="1"/>
                                </pic:cNvPicPr>
                              </pic:nvPicPr>
                              <pic:blipFill>
                                <a:blip r:embed="rId4"/>
                                <a:srcRect/>
                                <a:stretch>
                                  <a:fillRect/>
                                </a:stretch>
                              </pic:blipFill>
                              <pic:spPr bwMode="auto">
                                <a:xfrm>
                                  <a:off x="0" y="0"/>
                                  <a:ext cx="1771650" cy="117157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tbl>
                  <w:tblPr>
                    <w:tblW w:w="4500" w:type="dxa"/>
                    <w:tblCellMar>
                      <w:top w:w="75" w:type="dxa"/>
                      <w:left w:w="75" w:type="dxa"/>
                      <w:bottom w:w="75" w:type="dxa"/>
                      <w:right w:w="75" w:type="dxa"/>
                    </w:tblCellMar>
                    <w:tblLook w:val="04A0"/>
                  </w:tblPr>
                  <w:tblGrid>
                    <w:gridCol w:w="4710"/>
                  </w:tblGrid>
                  <w:tr w:rsidR="00DB1AC4" w:rsidRPr="00DB1AC4">
                    <w:tc>
                      <w:tcPr>
                        <w:tcW w:w="4500" w:type="dxa"/>
                        <w:tcBorders>
                          <w:top w:val="nil"/>
                          <w:left w:val="nil"/>
                          <w:bottom w:val="nil"/>
                          <w:right w:val="nil"/>
                        </w:tcBorders>
                        <w:hideMark/>
                      </w:tcPr>
                      <w:p w:rsidR="00DB1AC4" w:rsidRPr="00DB1AC4" w:rsidRDefault="00DB1AC4" w:rsidP="00DB1AC4">
                        <w:pPr>
                          <w:widowControl/>
                          <w:spacing w:line="195" w:lineRule="atLeast"/>
                          <w:jc w:val="left"/>
                          <w:rPr>
                            <w:rFonts w:ascii="Arial" w:eastAsia="宋体" w:hAnsi="Arial" w:cs="Arial"/>
                            <w:color w:val="000000"/>
                            <w:kern w:val="0"/>
                            <w:sz w:val="17"/>
                            <w:szCs w:val="17"/>
                          </w:rPr>
                        </w:pPr>
                        <w:r w:rsidRPr="00DB1AC4">
                          <w:rPr>
                            <w:rFonts w:ascii="Arial" w:eastAsia="宋体" w:hAnsi="Arial" w:cs="Arial"/>
                            <w:b/>
                            <w:bCs/>
                            <w:color w:val="000000"/>
                            <w:kern w:val="0"/>
                            <w:sz w:val="36"/>
                            <w:szCs w:val="36"/>
                          </w:rPr>
                          <w:t>Automotive Interiors</w:t>
                        </w:r>
                        <w:r w:rsidRPr="00DB1AC4">
                          <w:rPr>
                            <w:rFonts w:ascii="Arial" w:eastAsia="宋体" w:hAnsi="Arial" w:cs="Arial"/>
                            <w:color w:val="000000"/>
                            <w:kern w:val="0"/>
                            <w:sz w:val="17"/>
                            <w:szCs w:val="17"/>
                          </w:rPr>
                          <w:br/>
                        </w:r>
                        <w:r>
                          <w:rPr>
                            <w:rFonts w:ascii="Arial" w:eastAsia="宋体" w:hAnsi="Arial" w:cs="Arial"/>
                            <w:noProof/>
                            <w:color w:val="000000"/>
                            <w:kern w:val="0"/>
                            <w:sz w:val="17"/>
                            <w:szCs w:val="17"/>
                          </w:rPr>
                          <w:drawing>
                            <wp:inline distT="0" distB="0" distL="0" distR="0">
                              <wp:extent cx="2867025" cy="66675"/>
                              <wp:effectExtent l="19050" t="0" r="9525" b="0"/>
                              <wp:docPr id="2" name="图片 2" descr="http://www.apo.lyondellbasell.com/static/wma/gif/1/4/5/8/8/Li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o.lyondellbasell.com/static/wma/gif/1/4/5/8/8/Ligne.gif"/>
                                      <pic:cNvPicPr>
                                        <a:picLocks noChangeAspect="1" noChangeArrowheads="1"/>
                                      </pic:cNvPicPr>
                                    </pic:nvPicPr>
                                    <pic:blipFill>
                                      <a:blip r:embed="rId5"/>
                                      <a:srcRect/>
                                      <a:stretch>
                                        <a:fillRect/>
                                      </a:stretch>
                                    </pic:blipFill>
                                    <pic:spPr bwMode="auto">
                                      <a:xfrm>
                                        <a:off x="0" y="0"/>
                                        <a:ext cx="2867025" cy="66675"/>
                                      </a:xfrm>
                                      <a:prstGeom prst="rect">
                                        <a:avLst/>
                                      </a:prstGeom>
                                      <a:noFill/>
                                      <a:ln w="9525">
                                        <a:noFill/>
                                        <a:miter lim="800000"/>
                                        <a:headEnd/>
                                        <a:tailEnd/>
                                      </a:ln>
                                    </pic:spPr>
                                  </pic:pic>
                                </a:graphicData>
                              </a:graphic>
                            </wp:inline>
                          </w:drawing>
                        </w:r>
                        <w:r w:rsidRPr="00DB1AC4">
                          <w:rPr>
                            <w:rFonts w:ascii="Arial" w:eastAsia="宋体" w:hAnsi="Arial" w:cs="Arial"/>
                            <w:color w:val="000000"/>
                            <w:kern w:val="0"/>
                            <w:sz w:val="17"/>
                            <w:szCs w:val="17"/>
                          </w:rPr>
                          <w:br/>
                        </w:r>
                        <w:r w:rsidRPr="00DB1AC4">
                          <w:rPr>
                            <w:rFonts w:ascii="Arial" w:eastAsia="宋体" w:hAnsi="Arial" w:cs="Arial"/>
                            <w:color w:val="000000"/>
                            <w:kern w:val="0"/>
                            <w:sz w:val="27"/>
                            <w:szCs w:val="27"/>
                          </w:rPr>
                          <w:t>Air-bag System Components</w:t>
                        </w:r>
                      </w:p>
                    </w:tc>
                  </w:tr>
                </w:tbl>
                <w:p w:rsidR="00DB1AC4" w:rsidRPr="00DB1AC4" w:rsidRDefault="00DB1AC4" w:rsidP="00DB1AC4">
                  <w:pPr>
                    <w:widowControl/>
                    <w:spacing w:line="195" w:lineRule="atLeast"/>
                    <w:jc w:val="left"/>
                    <w:rPr>
                      <w:rFonts w:ascii="Arial" w:eastAsia="宋体" w:hAnsi="Arial" w:cs="Arial"/>
                      <w:color w:val="000000"/>
                      <w:kern w:val="0"/>
                      <w:sz w:val="17"/>
                      <w:szCs w:val="17"/>
                    </w:rPr>
                  </w:pPr>
                </w:p>
              </w:tc>
            </w:tr>
          </w:tbl>
          <w:p w:rsidR="00DB1AC4" w:rsidRPr="00DB1AC4" w:rsidRDefault="00DB1AC4" w:rsidP="00DB1AC4">
            <w:pPr>
              <w:widowControl/>
              <w:spacing w:line="195" w:lineRule="atLeast"/>
              <w:jc w:val="left"/>
              <w:rPr>
                <w:rFonts w:ascii="Arial" w:eastAsia="宋体" w:hAnsi="Arial" w:cs="Arial"/>
                <w:color w:val="000000"/>
                <w:kern w:val="0"/>
                <w:sz w:val="17"/>
                <w:szCs w:val="17"/>
              </w:rPr>
            </w:pPr>
          </w:p>
        </w:tc>
      </w:tr>
      <w:tr w:rsidR="00DB1AC4" w:rsidRPr="00DB1AC4">
        <w:trPr>
          <w:tblCellSpacing w:w="0" w:type="dxa"/>
          <w:jc w:val="center"/>
        </w:trPr>
        <w:tc>
          <w:tcPr>
            <w:tcW w:w="0" w:type="auto"/>
            <w:vAlign w:val="center"/>
            <w:hideMark/>
          </w:tcPr>
          <w:tbl>
            <w:tblPr>
              <w:tblW w:w="7500" w:type="dxa"/>
              <w:tblCellMar>
                <w:left w:w="0" w:type="dxa"/>
                <w:right w:w="0" w:type="dxa"/>
              </w:tblCellMar>
              <w:tblLook w:val="04A0"/>
            </w:tblPr>
            <w:tblGrid>
              <w:gridCol w:w="405"/>
              <w:gridCol w:w="7095"/>
            </w:tblGrid>
            <w:tr w:rsidR="00DB1AC4" w:rsidRPr="00DB1AC4">
              <w:tc>
                <w:tcPr>
                  <w:tcW w:w="405" w:type="dxa"/>
                  <w:tcBorders>
                    <w:top w:val="nil"/>
                    <w:left w:val="nil"/>
                    <w:bottom w:val="nil"/>
                    <w:right w:val="nil"/>
                  </w:tcBorders>
                  <w:vAlign w:val="center"/>
                  <w:hideMark/>
                </w:tcPr>
                <w:p w:rsidR="00DB1AC4" w:rsidRPr="00DB1AC4" w:rsidRDefault="00DB1AC4" w:rsidP="00DB1AC4">
                  <w:pPr>
                    <w:widowControl/>
                    <w:spacing w:line="195" w:lineRule="atLeast"/>
                    <w:jc w:val="left"/>
                    <w:rPr>
                      <w:rFonts w:ascii="Arial" w:eastAsia="宋体" w:hAnsi="Arial" w:cs="Arial"/>
                      <w:color w:val="000000"/>
                      <w:kern w:val="0"/>
                      <w:sz w:val="17"/>
                      <w:szCs w:val="17"/>
                    </w:rPr>
                  </w:pPr>
                </w:p>
              </w:tc>
              <w:tc>
                <w:tcPr>
                  <w:tcW w:w="7095" w:type="dxa"/>
                  <w:tcBorders>
                    <w:top w:val="nil"/>
                    <w:left w:val="nil"/>
                    <w:bottom w:val="nil"/>
                    <w:right w:val="nil"/>
                  </w:tcBorders>
                  <w:vAlign w:val="center"/>
                  <w:hideMark/>
                </w:tcPr>
                <w:p w:rsidR="00DB1AC4" w:rsidRPr="00DB1AC4" w:rsidRDefault="00DB1AC4" w:rsidP="00DB1AC4">
                  <w:pPr>
                    <w:widowControl/>
                    <w:spacing w:line="195" w:lineRule="atLeast"/>
                    <w:jc w:val="left"/>
                    <w:rPr>
                      <w:rFonts w:ascii="Arial" w:eastAsia="宋体" w:hAnsi="Arial" w:cs="Arial"/>
                      <w:color w:val="000000"/>
                      <w:kern w:val="0"/>
                      <w:sz w:val="17"/>
                      <w:szCs w:val="17"/>
                    </w:rPr>
                  </w:pPr>
                </w:p>
                <w:p w:rsidR="00DB1AC4" w:rsidRPr="00DB1AC4" w:rsidRDefault="00DB1AC4" w:rsidP="00DB1AC4">
                  <w:pPr>
                    <w:widowControl/>
                    <w:spacing w:before="100" w:beforeAutospacing="1" w:after="100" w:afterAutospacing="1" w:line="195" w:lineRule="atLeast"/>
                    <w:jc w:val="left"/>
                    <w:rPr>
                      <w:rFonts w:ascii="Arial" w:eastAsia="宋体" w:hAnsi="Arial" w:cs="Arial"/>
                      <w:color w:val="000000"/>
                      <w:kern w:val="0"/>
                      <w:sz w:val="17"/>
                      <w:szCs w:val="17"/>
                    </w:rPr>
                  </w:pPr>
                  <w:r w:rsidRPr="00DB1AC4">
                    <w:rPr>
                      <w:rFonts w:ascii="Arial" w:eastAsia="宋体" w:hAnsi="Arial" w:cs="Arial"/>
                      <w:color w:val="000000"/>
                      <w:kern w:val="0"/>
                      <w:sz w:val="18"/>
                    </w:rPr>
                    <w:t>Automotive air bags deploy at high subsonic velocities. Materials designed to survive in this regime must demonstrate both ductility and structural integrity across a wide temperature range. We have developed families of air-bag products that can handle this environment and deliver appearance and cost benefits as well.</w:t>
                  </w:r>
                </w:p>
                <w:p w:rsidR="00DB1AC4" w:rsidRPr="00DB1AC4" w:rsidRDefault="00DB1AC4" w:rsidP="00DB1AC4">
                  <w:pPr>
                    <w:widowControl/>
                    <w:spacing w:before="100" w:beforeAutospacing="1" w:after="100" w:afterAutospacing="1" w:line="195" w:lineRule="atLeast"/>
                    <w:jc w:val="left"/>
                    <w:rPr>
                      <w:rFonts w:ascii="Arial" w:eastAsia="宋体" w:hAnsi="Arial" w:cs="Arial"/>
                      <w:color w:val="000000"/>
                      <w:kern w:val="0"/>
                      <w:sz w:val="17"/>
                      <w:szCs w:val="17"/>
                    </w:rPr>
                  </w:pPr>
                  <w:r w:rsidRPr="00DB1AC4">
                    <w:rPr>
                      <w:rFonts w:ascii="Arial" w:eastAsia="宋体" w:hAnsi="Arial" w:cs="Arial"/>
                      <w:color w:val="000000"/>
                      <w:kern w:val="0"/>
                      <w:sz w:val="18"/>
                    </w:rPr>
                    <w:t>For painted surfaces or hidden air-bag structures, several specialized DEXFLEX® TPOs provide a critical balance of stiffness and impact resistance. These materials are being extruded into side-curtain air-bag retainers or injection molded for driver and passenger air-bag covers. There are also grades designed for instrument panels that accommodate seamless deployment doors for passenger-side systems.</w:t>
                  </w:r>
                </w:p>
                <w:p w:rsidR="00DB1AC4" w:rsidRPr="00DB1AC4" w:rsidRDefault="00DB1AC4" w:rsidP="00DB1AC4">
                  <w:pPr>
                    <w:widowControl/>
                    <w:spacing w:before="100" w:beforeAutospacing="1" w:after="100" w:afterAutospacing="1" w:line="195" w:lineRule="atLeast"/>
                    <w:jc w:val="left"/>
                    <w:rPr>
                      <w:rFonts w:ascii="Arial" w:eastAsia="宋体" w:hAnsi="Arial" w:cs="Arial"/>
                      <w:color w:val="000000"/>
                      <w:kern w:val="0"/>
                      <w:sz w:val="17"/>
                      <w:szCs w:val="17"/>
                    </w:rPr>
                  </w:pPr>
                  <w:r w:rsidRPr="00DB1AC4">
                    <w:rPr>
                      <w:rFonts w:ascii="Arial" w:eastAsia="宋体" w:hAnsi="Arial" w:cs="Arial"/>
                      <w:color w:val="000000"/>
                      <w:kern w:val="0"/>
                      <w:sz w:val="18"/>
                    </w:rPr>
                    <w:t>New materials have been developed to provide enhanced surface properties specifically for one-shot mold-in-color applications. These advanced TPOs provide a balance of soft feel combined with structural stiffness, as replacements for more expensive materials such as SEBS. Because these grades are intended to be integrally colored, they can eliminate the need for paint, while delivering the controlled gloss and texture that interior designers prefer.</w:t>
                  </w:r>
                </w:p>
                <w:p w:rsidR="00DB1AC4" w:rsidRPr="00DB1AC4" w:rsidRDefault="00DB1AC4" w:rsidP="00DB1AC4">
                  <w:pPr>
                    <w:widowControl/>
                    <w:spacing w:before="100" w:beforeAutospacing="1" w:after="100" w:afterAutospacing="1" w:line="195" w:lineRule="atLeast"/>
                    <w:jc w:val="left"/>
                    <w:rPr>
                      <w:rFonts w:ascii="Arial" w:eastAsia="宋体" w:hAnsi="Arial" w:cs="Arial"/>
                      <w:color w:val="000000"/>
                      <w:kern w:val="0"/>
                      <w:sz w:val="17"/>
                      <w:szCs w:val="17"/>
                    </w:rPr>
                  </w:pPr>
                  <w:r w:rsidRPr="00DB1AC4">
                    <w:rPr>
                      <w:rFonts w:ascii="Arial" w:eastAsia="宋体" w:hAnsi="Arial" w:cs="Arial"/>
                      <w:b/>
                      <w:bCs/>
                      <w:color w:val="0065CE"/>
                      <w:kern w:val="0"/>
                      <w:sz w:val="18"/>
                    </w:rPr>
                    <w:t>DEXFLEX® TPOs for air-bag systems — Technical Data</w:t>
                  </w:r>
                </w:p>
                <w:p w:rsidR="00DB1AC4" w:rsidRPr="00DB1AC4" w:rsidRDefault="00DB1AC4" w:rsidP="00DB1AC4">
                  <w:pPr>
                    <w:widowControl/>
                    <w:spacing w:before="100" w:beforeAutospacing="1" w:after="100" w:afterAutospacing="1" w:line="195" w:lineRule="atLeast"/>
                    <w:jc w:val="left"/>
                    <w:rPr>
                      <w:rFonts w:ascii="Arial" w:eastAsia="宋体" w:hAnsi="Arial" w:cs="Arial"/>
                      <w:color w:val="000000"/>
                      <w:kern w:val="0"/>
                      <w:sz w:val="17"/>
                      <w:szCs w:val="17"/>
                    </w:rPr>
                  </w:pPr>
                  <w:r w:rsidRPr="00DB1AC4">
                    <w:rPr>
                      <w:rFonts w:ascii="Arial" w:eastAsia="宋体" w:hAnsi="Arial" w:cs="Arial"/>
                      <w:color w:val="000000"/>
                      <w:kern w:val="0"/>
                      <w:sz w:val="18"/>
                    </w:rPr>
                    <w:t>Several highly specialized thermoplastic materials have been commercialized for use in air-bag doors, covers, retainers, and related system components. For a technical data sheet containing a list of performance and processing properties, click on any of the materials listed below:</w:t>
                  </w:r>
                </w:p>
                <w:tbl>
                  <w:tblPr>
                    <w:tblW w:w="5000" w:type="pct"/>
                    <w:tblCellSpacing w:w="15" w:type="dxa"/>
                    <w:tblCellMar>
                      <w:left w:w="0" w:type="dxa"/>
                      <w:right w:w="0" w:type="dxa"/>
                    </w:tblCellMar>
                    <w:tblLook w:val="04A0"/>
                  </w:tblPr>
                  <w:tblGrid>
                    <w:gridCol w:w="2329"/>
                    <w:gridCol w:w="2470"/>
                    <w:gridCol w:w="2296"/>
                  </w:tblGrid>
                  <w:tr w:rsidR="00DB1AC4" w:rsidRPr="00DB1AC4">
                    <w:trPr>
                      <w:tblCellSpacing w:w="15" w:type="dxa"/>
                    </w:trPr>
                    <w:tc>
                      <w:tcPr>
                        <w:tcW w:w="1995" w:type="dxa"/>
                        <w:hideMark/>
                      </w:tcPr>
                      <w:p w:rsidR="00DB1AC4" w:rsidRPr="00DB1AC4" w:rsidRDefault="00DB1AC4" w:rsidP="00DB1AC4">
                        <w:pPr>
                          <w:widowControl/>
                          <w:spacing w:line="195" w:lineRule="atLeast"/>
                          <w:jc w:val="left"/>
                          <w:rPr>
                            <w:rFonts w:ascii="Arial" w:eastAsia="宋体" w:hAnsi="Arial" w:cs="Arial"/>
                            <w:color w:val="000000"/>
                            <w:kern w:val="0"/>
                            <w:sz w:val="17"/>
                            <w:szCs w:val="17"/>
                          </w:rPr>
                        </w:pPr>
                        <w:hyperlink r:id="rId6" w:tgtFrame="_blank" w:history="1">
                          <w:r w:rsidRPr="00DB1AC4">
                            <w:rPr>
                              <w:rFonts w:ascii="Arial" w:eastAsia="宋体" w:hAnsi="Arial" w:cs="Arial"/>
                              <w:color w:val="999999"/>
                              <w:kern w:val="0"/>
                              <w:sz w:val="17"/>
                              <w:u w:val="single"/>
                            </w:rPr>
                            <w:t>DEXFLEX 1000</w:t>
                          </w:r>
                        </w:hyperlink>
                        <w:r w:rsidRPr="00DB1AC4">
                          <w:rPr>
                            <w:rFonts w:ascii="Arial" w:eastAsia="宋体" w:hAnsi="Arial" w:cs="Arial"/>
                            <w:color w:val="000000"/>
                            <w:kern w:val="0"/>
                            <w:sz w:val="18"/>
                            <w:szCs w:val="18"/>
                          </w:rPr>
                          <w:br/>
                        </w:r>
                        <w:r w:rsidRPr="00DB1AC4">
                          <w:rPr>
                            <w:rFonts w:ascii="Arial" w:eastAsia="宋体" w:hAnsi="Arial" w:cs="Arial"/>
                            <w:color w:val="000000"/>
                            <w:kern w:val="0"/>
                            <w:sz w:val="15"/>
                          </w:rPr>
                          <w:t>DEXFLEX 1010HF</w:t>
                        </w:r>
                      </w:p>
                    </w:tc>
                    <w:tc>
                      <w:tcPr>
                        <w:tcW w:w="2130" w:type="dxa"/>
                        <w:hideMark/>
                      </w:tcPr>
                      <w:p w:rsidR="00DB1AC4" w:rsidRPr="00DB1AC4" w:rsidRDefault="00DB1AC4" w:rsidP="00DB1AC4">
                        <w:pPr>
                          <w:widowControl/>
                          <w:spacing w:before="100" w:beforeAutospacing="1" w:after="100" w:afterAutospacing="1" w:line="195" w:lineRule="atLeast"/>
                          <w:jc w:val="left"/>
                          <w:rPr>
                            <w:rFonts w:ascii="Arial" w:eastAsia="宋体" w:hAnsi="Arial" w:cs="Arial"/>
                            <w:color w:val="000000"/>
                            <w:kern w:val="0"/>
                            <w:sz w:val="17"/>
                            <w:szCs w:val="17"/>
                          </w:rPr>
                        </w:pPr>
                        <w:r w:rsidRPr="00DB1AC4">
                          <w:rPr>
                            <w:rFonts w:ascii="Arial" w:eastAsia="宋体" w:hAnsi="Arial" w:cs="Arial"/>
                            <w:color w:val="000000"/>
                            <w:kern w:val="0"/>
                            <w:sz w:val="15"/>
                          </w:rPr>
                          <w:t>DEXFLEX 1011</w:t>
                        </w:r>
                        <w:r w:rsidRPr="00DB1AC4">
                          <w:rPr>
                            <w:rFonts w:ascii="Arial" w:eastAsia="宋体" w:hAnsi="Arial" w:cs="Arial"/>
                            <w:color w:val="000000"/>
                            <w:kern w:val="0"/>
                            <w:sz w:val="18"/>
                            <w:szCs w:val="18"/>
                          </w:rPr>
                          <w:br/>
                        </w:r>
                        <w:hyperlink r:id="rId7" w:tgtFrame="_blank" w:history="1">
                          <w:r w:rsidRPr="00DB1AC4">
                            <w:rPr>
                              <w:rFonts w:ascii="Arial" w:eastAsia="宋体" w:hAnsi="Arial" w:cs="Arial"/>
                              <w:color w:val="999999"/>
                              <w:kern w:val="0"/>
                              <w:sz w:val="17"/>
                              <w:u w:val="single"/>
                            </w:rPr>
                            <w:t>DEXFLEX 1022</w:t>
                          </w:r>
                          <w:r w:rsidRPr="00DB1AC4">
                            <w:rPr>
                              <w:rFonts w:ascii="Arial" w:eastAsia="宋体" w:hAnsi="Arial" w:cs="Arial"/>
                              <w:color w:val="999999"/>
                              <w:kern w:val="0"/>
                              <w:sz w:val="17"/>
                              <w:szCs w:val="17"/>
                              <w:u w:val="single"/>
                            </w:rPr>
                            <w:br/>
                          </w:r>
                        </w:hyperlink>
                        <w:hyperlink r:id="rId8" w:tgtFrame="_blank" w:history="1">
                          <w:r w:rsidRPr="00DB1AC4">
                            <w:rPr>
                              <w:rFonts w:ascii="Arial" w:eastAsia="宋体" w:hAnsi="Arial" w:cs="Arial"/>
                              <w:color w:val="999999"/>
                              <w:kern w:val="0"/>
                              <w:sz w:val="17"/>
                              <w:u w:val="single"/>
                            </w:rPr>
                            <w:t>DEXFLEX 756-67-2</w:t>
                          </w:r>
                        </w:hyperlink>
                        <w:hyperlink r:id="rId9" w:tgtFrame="_blank" w:history="1">
                          <w:r w:rsidRPr="00DB1AC4">
                            <w:rPr>
                              <w:rFonts w:ascii="Arial" w:eastAsia="宋体" w:hAnsi="Arial" w:cs="Arial"/>
                              <w:color w:val="999999"/>
                              <w:kern w:val="0"/>
                              <w:sz w:val="17"/>
                              <w:szCs w:val="17"/>
                              <w:u w:val="single"/>
                            </w:rPr>
                            <w:br/>
                          </w:r>
                        </w:hyperlink>
                      </w:p>
                    </w:tc>
                    <w:tc>
                      <w:tcPr>
                        <w:tcW w:w="1965" w:type="dxa"/>
                        <w:hideMark/>
                      </w:tcPr>
                      <w:p w:rsidR="00DB1AC4" w:rsidRPr="00DB1AC4" w:rsidRDefault="00DB1AC4" w:rsidP="00DB1AC4">
                        <w:pPr>
                          <w:widowControl/>
                          <w:spacing w:line="195" w:lineRule="atLeast"/>
                          <w:jc w:val="left"/>
                          <w:rPr>
                            <w:rFonts w:ascii="Arial" w:eastAsia="宋体" w:hAnsi="Arial" w:cs="Arial"/>
                            <w:color w:val="000000"/>
                            <w:kern w:val="0"/>
                            <w:sz w:val="17"/>
                            <w:szCs w:val="17"/>
                          </w:rPr>
                        </w:pPr>
                        <w:r w:rsidRPr="00DB1AC4">
                          <w:rPr>
                            <w:rFonts w:ascii="Arial" w:eastAsia="宋体" w:hAnsi="Arial" w:cs="Arial"/>
                            <w:color w:val="000000"/>
                            <w:kern w:val="0"/>
                            <w:sz w:val="15"/>
                          </w:rPr>
                          <w:t>DEXFLEX 756-68</w:t>
                        </w:r>
                        <w:r w:rsidRPr="00DB1AC4">
                          <w:rPr>
                            <w:rFonts w:ascii="Arial" w:eastAsia="宋体" w:hAnsi="Arial" w:cs="Arial"/>
                            <w:color w:val="000000"/>
                            <w:kern w:val="0"/>
                            <w:sz w:val="18"/>
                            <w:szCs w:val="18"/>
                          </w:rPr>
                          <w:br/>
                        </w:r>
                        <w:hyperlink r:id="rId10" w:tgtFrame="_blank" w:history="1">
                          <w:r w:rsidRPr="00DB1AC4">
                            <w:rPr>
                              <w:rFonts w:ascii="Arial" w:eastAsia="宋体" w:hAnsi="Arial" w:cs="Arial"/>
                              <w:color w:val="999999"/>
                              <w:kern w:val="0"/>
                              <w:sz w:val="17"/>
                              <w:u w:val="single"/>
                            </w:rPr>
                            <w:t>DEXFLEX E756</w:t>
                          </w:r>
                        </w:hyperlink>
                      </w:p>
                    </w:tc>
                  </w:tr>
                </w:tbl>
                <w:p w:rsidR="00DB1AC4" w:rsidRPr="00DB1AC4" w:rsidRDefault="00DB1AC4" w:rsidP="00DB1AC4">
                  <w:pPr>
                    <w:widowControl/>
                    <w:spacing w:line="195" w:lineRule="atLeast"/>
                    <w:jc w:val="left"/>
                    <w:rPr>
                      <w:rFonts w:ascii="Arial" w:eastAsia="宋体" w:hAnsi="Arial" w:cs="Arial"/>
                      <w:color w:val="000000"/>
                      <w:kern w:val="0"/>
                      <w:sz w:val="17"/>
                      <w:szCs w:val="17"/>
                    </w:rPr>
                  </w:pPr>
                </w:p>
              </w:tc>
            </w:tr>
          </w:tbl>
          <w:p w:rsidR="00DB1AC4" w:rsidRPr="00DB1AC4" w:rsidRDefault="00DB1AC4" w:rsidP="00DB1AC4">
            <w:pPr>
              <w:widowControl/>
              <w:spacing w:line="195" w:lineRule="atLeast"/>
              <w:jc w:val="left"/>
              <w:rPr>
                <w:rFonts w:ascii="Arial" w:eastAsia="宋体" w:hAnsi="Arial" w:cs="Arial"/>
                <w:color w:val="000000"/>
                <w:kern w:val="0"/>
                <w:sz w:val="17"/>
                <w:szCs w:val="17"/>
              </w:rPr>
            </w:pPr>
          </w:p>
        </w:tc>
      </w:tr>
    </w:tbl>
    <w:p w:rsidR="00B856D5" w:rsidRDefault="00B856D5"/>
    <w:sectPr w:rsidR="00B856D5" w:rsidSect="00B856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1AC4"/>
    <w:rsid w:val="00B856D5"/>
    <w:rsid w:val="00DB1A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1AC4"/>
    <w:rPr>
      <w:color w:val="999999"/>
      <w:sz w:val="17"/>
      <w:szCs w:val="17"/>
      <w:u w:val="single"/>
    </w:rPr>
  </w:style>
  <w:style w:type="paragraph" w:styleId="a4">
    <w:name w:val="Normal (Web)"/>
    <w:basedOn w:val="a"/>
    <w:uiPriority w:val="99"/>
    <w:unhideWhenUsed/>
    <w:rsid w:val="00DB1AC4"/>
    <w:pPr>
      <w:widowControl/>
      <w:spacing w:before="100" w:beforeAutospacing="1" w:after="100" w:afterAutospacing="1"/>
      <w:jc w:val="left"/>
    </w:pPr>
    <w:rPr>
      <w:rFonts w:ascii="宋体" w:eastAsia="宋体" w:hAnsi="宋体" w:cs="宋体"/>
      <w:kern w:val="0"/>
      <w:sz w:val="24"/>
      <w:szCs w:val="24"/>
    </w:rPr>
  </w:style>
  <w:style w:type="character" w:customStyle="1" w:styleId="textehtml1">
    <w:name w:val="textehtml1"/>
    <w:basedOn w:val="a0"/>
    <w:rsid w:val="00DB1AC4"/>
    <w:rPr>
      <w:i w:val="0"/>
      <w:iCs w:val="0"/>
      <w:color w:val="000000"/>
      <w:sz w:val="18"/>
      <w:szCs w:val="18"/>
    </w:rPr>
  </w:style>
  <w:style w:type="character" w:customStyle="1" w:styleId="h11">
    <w:name w:val="h11"/>
    <w:basedOn w:val="a0"/>
    <w:rsid w:val="00DB1AC4"/>
    <w:rPr>
      <w:b/>
      <w:bCs/>
      <w:color w:val="0065CE"/>
      <w:sz w:val="18"/>
      <w:szCs w:val="18"/>
    </w:rPr>
  </w:style>
  <w:style w:type="character" w:customStyle="1" w:styleId="style11">
    <w:name w:val="style11"/>
    <w:basedOn w:val="a0"/>
    <w:rsid w:val="00DB1AC4"/>
    <w:rPr>
      <w:sz w:val="15"/>
      <w:szCs w:val="15"/>
    </w:rPr>
  </w:style>
  <w:style w:type="paragraph" w:styleId="a5">
    <w:name w:val="Balloon Text"/>
    <w:basedOn w:val="a"/>
    <w:link w:val="Char"/>
    <w:uiPriority w:val="99"/>
    <w:semiHidden/>
    <w:unhideWhenUsed/>
    <w:rsid w:val="00DB1AC4"/>
    <w:rPr>
      <w:sz w:val="18"/>
      <w:szCs w:val="18"/>
    </w:rPr>
  </w:style>
  <w:style w:type="character" w:customStyle="1" w:styleId="Char">
    <w:name w:val="批注框文本 Char"/>
    <w:basedOn w:val="a0"/>
    <w:link w:val="a5"/>
    <w:uiPriority w:val="99"/>
    <w:semiHidden/>
    <w:rsid w:val="00DB1A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o.lyondellbasell.com/products/interior/static/wma/pdf/7/5/9/8/DEXFLEX_756-67-2.pdf" TargetMode="External"/><Relationship Id="rId3" Type="http://schemas.openxmlformats.org/officeDocument/2006/relationships/webSettings" Target="webSettings.xml"/><Relationship Id="rId7" Type="http://schemas.openxmlformats.org/officeDocument/2006/relationships/hyperlink" Target="http://www.apo.lyondellbasell.com/products/interior/static/wma/pdf/7/5/9/5/DEXFLEX_1022.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o.lyondellbasell.com/products/interior/static/wma/pdf/7/5/9/4/DEXFLEX_1000.pdf" TargetMode="External"/><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hyperlink" Target="http://www.apo.lyondellbasell.com/products/interior/static/wma/pdf/7/5/4/3/DEXFLEX_E756.pdf" TargetMode="External"/><Relationship Id="rId4" Type="http://schemas.openxmlformats.org/officeDocument/2006/relationships/image" Target="media/image1.jpeg"/><Relationship Id="rId9" Type="http://schemas.openxmlformats.org/officeDocument/2006/relationships/hyperlink" Target="http://www.apo.lyondellbasell.com/products/interior/static/wma/pdf/7/5/9/5/DEXFLEX_102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2008-03-06T04:44:00Z</dcterms:created>
  <dcterms:modified xsi:type="dcterms:W3CDTF">2008-03-06T04:45:00Z</dcterms:modified>
</cp:coreProperties>
</file>